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D3D47" w14:textId="4489D806" w:rsidR="00266116" w:rsidRDefault="00266116" w:rsidP="00AE1EB1">
      <w:pPr>
        <w:jc w:val="both"/>
      </w:pPr>
      <w:r w:rsidRPr="00BA6D6F">
        <w:rPr>
          <w:b/>
          <w:bCs/>
        </w:rPr>
        <w:t>Marijampolės regiono funkcinės zonos strategij</w:t>
      </w:r>
      <w:r>
        <w:rPr>
          <w:b/>
          <w:bCs/>
        </w:rPr>
        <w:t xml:space="preserve">os įgyvendinimas </w:t>
      </w:r>
      <w:r w:rsidR="00A1269E">
        <w:rPr>
          <w:b/>
          <w:bCs/>
        </w:rPr>
        <w:t>2025 m.</w:t>
      </w:r>
    </w:p>
    <w:p w14:paraId="7C2FFE0D" w14:textId="77777777" w:rsidR="00266116" w:rsidRDefault="00266116" w:rsidP="00AE1EB1">
      <w:pPr>
        <w:jc w:val="both"/>
      </w:pPr>
    </w:p>
    <w:p w14:paraId="4378609C" w14:textId="77777777" w:rsidR="00E85A15" w:rsidRDefault="00B70CD2" w:rsidP="00AE1EB1">
      <w:pPr>
        <w:jc w:val="both"/>
      </w:pPr>
      <w:r>
        <w:t xml:space="preserve">2024 m. pradžioje penkios Marijampolės regiono savivaldybės pavirtino </w:t>
      </w:r>
      <w:r w:rsidRPr="00BA6D6F">
        <w:rPr>
          <w:b/>
          <w:bCs/>
        </w:rPr>
        <w:t>2023–2029 m. Marijampolės regiono funkcinės zonos strategiją</w:t>
      </w:r>
      <w:r w:rsidR="000D31AC">
        <w:t xml:space="preserve"> – joje </w:t>
      </w:r>
      <w:r w:rsidR="00F36BA8" w:rsidRPr="00B70CD2">
        <w:t>Kalvarijos, Kazlų Rūdos, Marijampolės, Šakių rajono ir Vilkaviškio rajono</w:t>
      </w:r>
      <w:r w:rsidR="00F36BA8">
        <w:t xml:space="preserve"> savivaldybės suplanavo bendrai vykdyti veiklas, kuriomis siekiama pritraukti investuotojus ir turistus į regioną bei </w:t>
      </w:r>
      <w:r w:rsidR="000D31AC">
        <w:t>stiprinti</w:t>
      </w:r>
      <w:r w:rsidR="00F36BA8">
        <w:t xml:space="preserve"> visuomenės sveikat</w:t>
      </w:r>
      <w:r w:rsidR="000D31AC">
        <w:t>ą</w:t>
      </w:r>
      <w:r w:rsidR="00F36BA8">
        <w:t>. Strategijoje</w:t>
      </w:r>
      <w:r w:rsidR="00BE1664">
        <w:t xml:space="preserve"> </w:t>
      </w:r>
      <w:r w:rsidR="000D31AC">
        <w:t>suplanuoti</w:t>
      </w:r>
      <w:r w:rsidR="00BE1664">
        <w:t xml:space="preserve"> 22 projektai</w:t>
      </w:r>
      <w:r w:rsidR="00F36BA8">
        <w:t xml:space="preserve">, kurių </w:t>
      </w:r>
      <w:r w:rsidR="00E85A15">
        <w:t xml:space="preserve">ES </w:t>
      </w:r>
      <w:r w:rsidR="007475D0">
        <w:t>investicijų</w:t>
      </w:r>
      <w:r w:rsidR="00E85A15">
        <w:t xml:space="preserve"> suma – </w:t>
      </w:r>
      <w:r w:rsidR="00F36BA8">
        <w:t xml:space="preserve"> 29,5 mln. eurų.</w:t>
      </w:r>
      <w:r w:rsidR="000D31AC">
        <w:t xml:space="preserve"> </w:t>
      </w:r>
    </w:p>
    <w:p w14:paraId="623E53D8" w14:textId="5EA00D50" w:rsidR="00BE1664" w:rsidRDefault="000D31AC" w:rsidP="00AE1EB1">
      <w:pPr>
        <w:jc w:val="both"/>
      </w:pPr>
      <w:r>
        <w:t>2025</w:t>
      </w:r>
      <w:r w:rsidR="00E85A15">
        <w:t xml:space="preserve"> m. prasidėjo </w:t>
      </w:r>
      <w:r w:rsidR="0050007F">
        <w:t xml:space="preserve">dalies </w:t>
      </w:r>
      <w:r w:rsidR="008A7A01">
        <w:t xml:space="preserve">projektų įgyvendinimas </w:t>
      </w:r>
      <w:r>
        <w:t xml:space="preserve">– finansavimas paskirtas projektams už </w:t>
      </w:r>
      <w:r w:rsidR="000504A1">
        <w:t xml:space="preserve">daugiau kaip 19 mln. eurų, t. y. už </w:t>
      </w:r>
      <w:r>
        <w:t xml:space="preserve">65 proc. Strategijoje numatytų ES </w:t>
      </w:r>
      <w:r w:rsidR="0038023C">
        <w:t xml:space="preserve">fondų </w:t>
      </w:r>
      <w:r>
        <w:t xml:space="preserve">lėšų, projektai už dar </w:t>
      </w:r>
      <w:r w:rsidR="0012776B">
        <w:t>7,5</w:t>
      </w:r>
      <w:r w:rsidR="0038023C">
        <w:t xml:space="preserve"> mln. eurų (</w:t>
      </w:r>
      <w:r>
        <w:t>25 proc.</w:t>
      </w:r>
      <w:r w:rsidR="0038023C">
        <w:t>)</w:t>
      </w:r>
      <w:r>
        <w:t xml:space="preserve"> </w:t>
      </w:r>
      <w:r w:rsidR="00520FE7">
        <w:t xml:space="preserve">Strategijoje numatytų ES </w:t>
      </w:r>
      <w:r w:rsidR="0038023C">
        <w:t xml:space="preserve">fondų </w:t>
      </w:r>
      <w:r w:rsidR="00520FE7">
        <w:t xml:space="preserve">lėšų yra </w:t>
      </w:r>
      <w:r>
        <w:t xml:space="preserve">vertinami. 2026-aisiais pateikti liko 2 projektus, kurių vertė </w:t>
      </w:r>
      <w:r w:rsidR="0012776B">
        <w:t xml:space="preserve">siekia 2,8 mln. eurų ir </w:t>
      </w:r>
      <w:r>
        <w:t>sudaro 10 proc. Strategijoje numatytų lėšų.</w:t>
      </w:r>
    </w:p>
    <w:p w14:paraId="7162C4CF" w14:textId="47F61883" w:rsidR="000D31AC" w:rsidRDefault="00520FE7" w:rsidP="00AE1EB1">
      <w:pPr>
        <w:jc w:val="both"/>
      </w:pPr>
      <w:r w:rsidRPr="00520FE7">
        <w:rPr>
          <w:b/>
          <w:bCs/>
        </w:rPr>
        <w:t>Investicijų pritraukimui</w:t>
      </w:r>
      <w:r>
        <w:t xml:space="preserve"> Strategijoje suplanuotais projektais</w:t>
      </w:r>
      <w:r w:rsidR="000D31AC">
        <w:t xml:space="preserve"> numatyta įrengti reikiamą infrastuktūrą (kelius, elektros, vandens ir nuotekų tinklus</w:t>
      </w:r>
      <w:r>
        <w:t xml:space="preserve"> ir kt.</w:t>
      </w:r>
      <w:r w:rsidR="000D31AC">
        <w:t>), kad pramoniniuose komerciniuose sklypuose galėtų kurtis verslas. Šios investicijos pasieks didžiausias regiono savivaldybes – Marijampolės, Šakių ir Vilkaviškio rajonų</w:t>
      </w:r>
      <w:r w:rsidR="00430757">
        <w:t xml:space="preserve">. Šios savivaldybės </w:t>
      </w:r>
      <w:r w:rsidR="00D97BA0">
        <w:t xml:space="preserve">taip pat </w:t>
      </w:r>
      <w:r>
        <w:t>numat</w:t>
      </w:r>
      <w:r w:rsidR="0080546B">
        <w:t>o</w:t>
      </w:r>
      <w:r w:rsidR="000D31AC">
        <w:t xml:space="preserve"> bendrai</w:t>
      </w:r>
      <w:r>
        <w:t xml:space="preserve"> prist</w:t>
      </w:r>
      <w:r w:rsidR="0080546B">
        <w:t>atyti</w:t>
      </w:r>
      <w:r w:rsidR="000D31AC">
        <w:t xml:space="preserve"> </w:t>
      </w:r>
      <w:r w:rsidR="00D97BA0">
        <w:t xml:space="preserve">Marijampolės </w:t>
      </w:r>
      <w:r w:rsidR="000D31AC">
        <w:t>regiono privalum</w:t>
      </w:r>
      <w:r w:rsidR="0080546B">
        <w:t xml:space="preserve">us ir </w:t>
      </w:r>
      <w:r>
        <w:t>ieško</w:t>
      </w:r>
      <w:r w:rsidR="0080546B">
        <w:t>ti</w:t>
      </w:r>
      <w:r>
        <w:t xml:space="preserve"> potencialių investuotojų</w:t>
      </w:r>
      <w:r w:rsidR="000D31AC">
        <w:t>.</w:t>
      </w:r>
      <w:r w:rsidR="0080546B">
        <w:t xml:space="preserve"> </w:t>
      </w:r>
      <w:r w:rsidR="00D97BA0">
        <w:t>Investicijų</w:t>
      </w:r>
      <w:r w:rsidR="000D31AC">
        <w:t xml:space="preserve"> srities projektams jau paskirta daugiau kaip 4,5 mln. eurų, dar vienas projektas šiuo metu vertinamas. </w:t>
      </w:r>
    </w:p>
    <w:p w14:paraId="47AF27EE" w14:textId="77777777" w:rsidR="00AE1EB1" w:rsidRDefault="00AE1EB1" w:rsidP="00AE1EB1">
      <w:pPr>
        <w:jc w:val="both"/>
      </w:pPr>
    </w:p>
    <w:p w14:paraId="16CF28E3" w14:textId="5FD2DE29" w:rsidR="000D31AC" w:rsidRDefault="000D31AC" w:rsidP="00AE1EB1">
      <w:pPr>
        <w:jc w:val="center"/>
      </w:pPr>
      <w:r>
        <w:rPr>
          <w:noProof/>
        </w:rPr>
        <w:drawing>
          <wp:inline distT="0" distB="0" distL="0" distR="0" wp14:anchorId="37A1C4E1" wp14:editId="5BB40FDF">
            <wp:extent cx="4905375" cy="3290890"/>
            <wp:effectExtent l="0" t="0" r="0" b="0"/>
            <wp:docPr id="1938334448" name="Diagrama 1">
              <a:extLst xmlns:a="http://schemas.openxmlformats.org/drawingml/2006/main">
                <a:ext uri="{FF2B5EF4-FFF2-40B4-BE49-F238E27FC236}">
                  <a16:creationId xmlns:a16="http://schemas.microsoft.com/office/drawing/2014/main" id="{E79986A3-946F-35F3-78BD-41C1E353ABF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03C532B" w14:textId="77777777" w:rsidR="00AE1EB1" w:rsidRDefault="00AE1EB1" w:rsidP="00AE1EB1">
      <w:pPr>
        <w:jc w:val="both"/>
        <w:rPr>
          <w:b/>
          <w:bCs/>
        </w:rPr>
      </w:pPr>
    </w:p>
    <w:p w14:paraId="71514EA7" w14:textId="1DC3316F" w:rsidR="0080546B" w:rsidRDefault="0080546B" w:rsidP="00AE1EB1">
      <w:pPr>
        <w:jc w:val="both"/>
      </w:pPr>
      <w:r w:rsidRPr="0080546B">
        <w:rPr>
          <w:b/>
          <w:bCs/>
        </w:rPr>
        <w:t>Turizmo skatinimui</w:t>
      </w:r>
      <w:r>
        <w:t xml:space="preserve"> regione numatoma sukurti visas regiono savivaldybes </w:t>
      </w:r>
      <w:r w:rsidR="00E71ABC">
        <w:t>apjungiančius</w:t>
      </w:r>
      <w:r>
        <w:t xml:space="preserve"> turistinius maršrutus, </w:t>
      </w:r>
      <w:r w:rsidR="00E71ABC">
        <w:t>jungiančius</w:t>
      </w:r>
      <w:r>
        <w:t xml:space="preserve"> gamtos ir kultūros objektus</w:t>
      </w:r>
      <w:r w:rsidR="00266116">
        <w:t xml:space="preserve"> ir visoms regiono savivaldybėms bendrai pristatant </w:t>
      </w:r>
      <w:r w:rsidR="00AE1EB1" w:rsidRPr="00AE1EB1">
        <w:rPr>
          <w:color w:val="000000" w:themeColor="text1"/>
        </w:rPr>
        <w:t xml:space="preserve">Marijampolės </w:t>
      </w:r>
      <w:r w:rsidR="00266116">
        <w:t>regioną</w:t>
      </w:r>
      <w:r>
        <w:t xml:space="preserve">. O kad į maršrutus patekę iškiliausi Suvalkijos dvarai, piliakalniai ir kiti objektai būtų patogiai pasiekiami, su stovėjimo aikštelėmis, poilsio vietomis ir kita mažąja architektūra, bus įgyvendinama 16 projektų. Lankymui bus pritaikyti Sudargo, </w:t>
      </w:r>
      <w:proofErr w:type="spellStart"/>
      <w:r>
        <w:t>Maštaičių</w:t>
      </w:r>
      <w:proofErr w:type="spellEnd"/>
      <w:r>
        <w:t xml:space="preserve">, </w:t>
      </w:r>
      <w:proofErr w:type="spellStart"/>
      <w:r>
        <w:t>Varnupių</w:t>
      </w:r>
      <w:proofErr w:type="spellEnd"/>
      <w:r>
        <w:t xml:space="preserve">, Kaupiškių ir kiti piliakalniai, Vištyčio, </w:t>
      </w:r>
      <w:proofErr w:type="spellStart"/>
      <w:r>
        <w:t>Orijos</w:t>
      </w:r>
      <w:proofErr w:type="spellEnd"/>
      <w:r>
        <w:t xml:space="preserve">, </w:t>
      </w:r>
      <w:proofErr w:type="spellStart"/>
      <w:r>
        <w:t>Ivoniškio</w:t>
      </w:r>
      <w:proofErr w:type="spellEnd"/>
      <w:r>
        <w:t xml:space="preserve">, </w:t>
      </w:r>
      <w:proofErr w:type="spellStart"/>
      <w:r>
        <w:t>Yglos</w:t>
      </w:r>
      <w:proofErr w:type="spellEnd"/>
      <w:r>
        <w:t xml:space="preserve">, </w:t>
      </w:r>
      <w:proofErr w:type="spellStart"/>
      <w:r>
        <w:t>Žaltyčio</w:t>
      </w:r>
      <w:proofErr w:type="spellEnd"/>
      <w:r>
        <w:t xml:space="preserve">, Paežerių ežerai, </w:t>
      </w:r>
      <w:proofErr w:type="spellStart"/>
      <w:r>
        <w:t>Kačergų</w:t>
      </w:r>
      <w:proofErr w:type="spellEnd"/>
      <w:r>
        <w:t xml:space="preserve"> kalnas, Antanavo ir </w:t>
      </w:r>
      <w:proofErr w:type="spellStart"/>
      <w:r>
        <w:t>Zyplių</w:t>
      </w:r>
      <w:proofErr w:type="spellEnd"/>
      <w:r>
        <w:t xml:space="preserve"> dvarai, </w:t>
      </w:r>
      <w:proofErr w:type="spellStart"/>
      <w:r>
        <w:t>Višakio</w:t>
      </w:r>
      <w:proofErr w:type="spellEnd"/>
      <w:r>
        <w:t xml:space="preserve"> Rūdos </w:t>
      </w:r>
      <w:r w:rsidR="008657F7">
        <w:t>etnografinis</w:t>
      </w:r>
      <w:r>
        <w:t xml:space="preserve"> kaimas ir </w:t>
      </w:r>
      <w:proofErr w:type="spellStart"/>
      <w:r>
        <w:t>Šunskai</w:t>
      </w:r>
      <w:proofErr w:type="spellEnd"/>
      <w:r w:rsidR="00266116">
        <w:t>, nutiesti dviračių takai, įrengta prieplauka Nemune</w:t>
      </w:r>
      <w:r>
        <w:t>.</w:t>
      </w:r>
      <w:r w:rsidR="00E71ABC">
        <w:t xml:space="preserve"> Visi regiono savivaldybių turizmo informacijos centrai kartu įgyvendina projektą turistų pritraukimui ir informacijos apie Suvalkijos regioną sklaidai. Iš viso turizmo skatinimo srities projektams numatyta beveik 24 mln. eurų ES fondų lėšų, už 14,4 mln. eurų </w:t>
      </w:r>
      <w:r w:rsidR="00E71ABC">
        <w:lastRenderedPageBreak/>
        <w:t>projektai jau įgyvendinami, dar už 6,6 mln. eurų – vertinami</w:t>
      </w:r>
      <w:r w:rsidR="00581773">
        <w:t>. K</w:t>
      </w:r>
      <w:r w:rsidR="00E71ABC">
        <w:t xml:space="preserve">itiems metams lieka pateikti projektų už </w:t>
      </w:r>
      <w:r w:rsidR="00266116">
        <w:t>likusius</w:t>
      </w:r>
      <w:r w:rsidR="00E71ABC">
        <w:t xml:space="preserve"> 2,8 mln. eurų ES fondų lėšų.</w:t>
      </w:r>
      <w:r w:rsidR="00266116">
        <w:t xml:space="preserve"> </w:t>
      </w:r>
    </w:p>
    <w:p w14:paraId="48D681AB" w14:textId="77777777" w:rsidR="00AE1EB1" w:rsidRDefault="00AE1EB1" w:rsidP="00AE1EB1">
      <w:pPr>
        <w:jc w:val="both"/>
      </w:pPr>
    </w:p>
    <w:p w14:paraId="301ABF16" w14:textId="776A0287" w:rsidR="00E71ABC" w:rsidRDefault="00E71ABC" w:rsidP="00AE1EB1">
      <w:pPr>
        <w:jc w:val="center"/>
      </w:pPr>
      <w:r>
        <w:rPr>
          <w:noProof/>
        </w:rPr>
        <w:drawing>
          <wp:inline distT="0" distB="0" distL="0" distR="0" wp14:anchorId="38EFDA46" wp14:editId="797FF997">
            <wp:extent cx="4924425" cy="3557588"/>
            <wp:effectExtent l="0" t="0" r="9525" b="5080"/>
            <wp:docPr id="1210155456" name="Diagrama 1">
              <a:extLst xmlns:a="http://schemas.openxmlformats.org/drawingml/2006/main">
                <a:ext uri="{FF2B5EF4-FFF2-40B4-BE49-F238E27FC236}">
                  <a16:creationId xmlns:a16="http://schemas.microsoft.com/office/drawing/2014/main" id="{378A9553-46E1-F1FC-99AB-B046F088561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B9BC398" w14:textId="77777777" w:rsidR="00AE1EB1" w:rsidRDefault="00AE1EB1" w:rsidP="00AE1EB1">
      <w:pPr>
        <w:jc w:val="both"/>
      </w:pPr>
    </w:p>
    <w:p w14:paraId="63109356" w14:textId="68395C6E" w:rsidR="00266116" w:rsidRDefault="00266116" w:rsidP="00AE1EB1">
      <w:pPr>
        <w:jc w:val="both"/>
      </w:pPr>
      <w:r>
        <w:t xml:space="preserve">Trečioji strategijos sritis, kuria regiono savivaldybės nutarė bendradarbiauti – tai </w:t>
      </w:r>
      <w:r w:rsidRPr="00266116">
        <w:rPr>
          <w:b/>
          <w:bCs/>
        </w:rPr>
        <w:t>visuomenės sveikatos stiprinimas</w:t>
      </w:r>
      <w:r>
        <w:t xml:space="preserve">. Projektas vykdomas Marijampolės ir Kalvarijos savivaldybėse, juo </w:t>
      </w:r>
      <w:r w:rsidRPr="00266116">
        <w:t xml:space="preserve"> įgyvendin</w:t>
      </w:r>
      <w:r>
        <w:t>amos</w:t>
      </w:r>
      <w:r w:rsidRPr="00266116">
        <w:t xml:space="preserve"> prevencin</w:t>
      </w:r>
      <w:r>
        <w:t>ė</w:t>
      </w:r>
      <w:r w:rsidRPr="00266116">
        <w:t>s priemon</w:t>
      </w:r>
      <w:r>
        <w:t>ė</w:t>
      </w:r>
      <w:r w:rsidRPr="00266116">
        <w:t>s, skirt</w:t>
      </w:r>
      <w:r>
        <w:t>o</w:t>
      </w:r>
      <w:r w:rsidRPr="00266116">
        <w:t>s gyventojų fizinės sveikatos bei psichologinės gerovės ir atsparumo stiprinimui, priklausomybės ligų prevencijai, vykdant mokymus, seminarus bei stovyklas</w:t>
      </w:r>
      <w:r>
        <w:t xml:space="preserve"> ir kitas veiklas</w:t>
      </w:r>
      <w:r w:rsidRPr="00266116">
        <w:t>.</w:t>
      </w:r>
      <w:r>
        <w:t xml:space="preserve"> Šiai sričiai viso skirta beveik 177 tūkst. eurų ES fondų lėšų.</w:t>
      </w:r>
    </w:p>
    <w:p w14:paraId="6B3E15B4" w14:textId="77777777" w:rsidR="006D04C8" w:rsidRDefault="006D04C8" w:rsidP="00AE1EB1">
      <w:pPr>
        <w:jc w:val="both"/>
      </w:pPr>
    </w:p>
    <w:p w14:paraId="4A76DB7F" w14:textId="1341E816" w:rsidR="00266116" w:rsidRDefault="00266116" w:rsidP="00AE1EB1">
      <w:pPr>
        <w:jc w:val="center"/>
      </w:pPr>
      <w:r>
        <w:rPr>
          <w:noProof/>
        </w:rPr>
        <w:drawing>
          <wp:inline distT="0" distB="0" distL="0" distR="0" wp14:anchorId="62714884" wp14:editId="7A392FD9">
            <wp:extent cx="4933951" cy="3519488"/>
            <wp:effectExtent l="0" t="0" r="0" b="5080"/>
            <wp:docPr id="1098053282" name="Diagrama 1">
              <a:extLst xmlns:a="http://schemas.openxmlformats.org/drawingml/2006/main">
                <a:ext uri="{FF2B5EF4-FFF2-40B4-BE49-F238E27FC236}">
                  <a16:creationId xmlns:a16="http://schemas.microsoft.com/office/drawing/2014/main" id="{A7D6A91D-4C4E-BC47-549B-12020CA0EA2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0C0FD5B" w14:textId="77777777" w:rsidR="00AE1EB1" w:rsidRDefault="00AE1EB1" w:rsidP="00AE1EB1">
      <w:pPr>
        <w:jc w:val="both"/>
      </w:pPr>
    </w:p>
    <w:p w14:paraId="46CDB9CC" w14:textId="2E4148D8" w:rsidR="00266116" w:rsidRDefault="00266116" w:rsidP="00AE1EB1">
      <w:pPr>
        <w:jc w:val="both"/>
      </w:pPr>
      <w:r>
        <w:t xml:space="preserve">Plačiau su </w:t>
      </w:r>
      <w:r w:rsidRPr="00266116">
        <w:t>2023–2029 m. Marijampolės regiono funkcinės zonos strategij</w:t>
      </w:r>
      <w:r w:rsidR="009720B6">
        <w:t>a ir joje suplanuotais veiksmais</w:t>
      </w:r>
      <w:r>
        <w:t xml:space="preserve"> galite susipažinti </w:t>
      </w:r>
      <w:r w:rsidRPr="00266116">
        <w:rPr>
          <w:b/>
          <w:bCs/>
        </w:rPr>
        <w:t>čia</w:t>
      </w:r>
      <w:r w:rsidR="0025386A">
        <w:t>:</w:t>
      </w:r>
      <w:r w:rsidR="00F24550">
        <w:t xml:space="preserve"> </w:t>
      </w:r>
      <w:hyperlink r:id="rId11" w:history="1">
        <w:r w:rsidR="0025386A" w:rsidRPr="004B7CC5">
          <w:rPr>
            <w:rStyle w:val="Hipersaitas"/>
          </w:rPr>
          <w:t>https://marijampolesregionas.lt/planavimo-dokumentai/teritorines-strategijos/marijampoles-regiono-funkcines-zonos-strategija/</w:t>
        </w:r>
      </w:hyperlink>
      <w:r w:rsidR="0025386A">
        <w:t xml:space="preserve"> </w:t>
      </w:r>
    </w:p>
    <w:p w14:paraId="68CFA168" w14:textId="77777777" w:rsidR="00AC626F" w:rsidRDefault="00AC626F" w:rsidP="00AE1EB1">
      <w:pPr>
        <w:jc w:val="both"/>
      </w:pPr>
    </w:p>
    <w:p w14:paraId="702739E4" w14:textId="3E62A137" w:rsidR="007A2670" w:rsidRDefault="007A2670" w:rsidP="00AE1EB1">
      <w:pPr>
        <w:jc w:val="both"/>
      </w:pPr>
      <w:r>
        <w:t>V</w:t>
      </w:r>
      <w:r w:rsidRPr="007A2670">
        <w:t xml:space="preserve">ykdant </w:t>
      </w:r>
      <w:r w:rsidR="00F24550" w:rsidRPr="00266116">
        <w:t>2023–2029 m. Marijampolės regiono funkcinės zonos</w:t>
      </w:r>
      <w:r w:rsidR="00F24550" w:rsidRPr="007A2670">
        <w:t xml:space="preserve"> </w:t>
      </w:r>
      <w:r w:rsidRPr="007A2670">
        <w:t>strategijos stebėseną, laukiama pasiūlymų įgyvendinamiems veiksmams</w:t>
      </w:r>
      <w:r w:rsidR="00C81A90">
        <w:t xml:space="preserve"> iki 2025 m. gruodžio </w:t>
      </w:r>
      <w:r w:rsidR="00423EB2">
        <w:t>2</w:t>
      </w:r>
      <w:r w:rsidR="00AC626F">
        <w:t>9</w:t>
      </w:r>
      <w:r w:rsidR="00C81A90">
        <w:t xml:space="preserve"> d.</w:t>
      </w:r>
      <w:r w:rsidRPr="007A2670">
        <w:t xml:space="preserve"> el. paštu: info@marijampolesregionas.lt</w:t>
      </w:r>
    </w:p>
    <w:sectPr w:rsidR="007A2670" w:rsidSect="006D04C8">
      <w:pgSz w:w="11906" w:h="16838"/>
      <w:pgMar w:top="851"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30210"/>
    <w:multiLevelType w:val="hybridMultilevel"/>
    <w:tmpl w:val="0B1EF6DE"/>
    <w:lvl w:ilvl="0" w:tplc="56A44D1E">
      <w:start w:val="2024"/>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47E6576"/>
    <w:multiLevelType w:val="hybridMultilevel"/>
    <w:tmpl w:val="EC3413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49550386">
    <w:abstractNumId w:val="1"/>
  </w:num>
  <w:num w:numId="2" w16cid:durableId="785151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CD2"/>
    <w:rsid w:val="000504A1"/>
    <w:rsid w:val="000D31AC"/>
    <w:rsid w:val="00117512"/>
    <w:rsid w:val="0012776B"/>
    <w:rsid w:val="001455B8"/>
    <w:rsid w:val="00237A6E"/>
    <w:rsid w:val="0025386A"/>
    <w:rsid w:val="00266116"/>
    <w:rsid w:val="0038023C"/>
    <w:rsid w:val="003B69E1"/>
    <w:rsid w:val="00423EB2"/>
    <w:rsid w:val="00430757"/>
    <w:rsid w:val="00497E0C"/>
    <w:rsid w:val="004F7E8C"/>
    <w:rsid w:val="0050007F"/>
    <w:rsid w:val="00517C53"/>
    <w:rsid w:val="00520FE7"/>
    <w:rsid w:val="005374D7"/>
    <w:rsid w:val="00566586"/>
    <w:rsid w:val="00581773"/>
    <w:rsid w:val="006D04C8"/>
    <w:rsid w:val="00742BD6"/>
    <w:rsid w:val="007475D0"/>
    <w:rsid w:val="007A2670"/>
    <w:rsid w:val="00802CF9"/>
    <w:rsid w:val="00804006"/>
    <w:rsid w:val="0080546B"/>
    <w:rsid w:val="00820E43"/>
    <w:rsid w:val="008657F7"/>
    <w:rsid w:val="008A7A01"/>
    <w:rsid w:val="009720B6"/>
    <w:rsid w:val="00974B1A"/>
    <w:rsid w:val="009C0FFB"/>
    <w:rsid w:val="00A1269E"/>
    <w:rsid w:val="00A40307"/>
    <w:rsid w:val="00AC626F"/>
    <w:rsid w:val="00AE1EB1"/>
    <w:rsid w:val="00AE339D"/>
    <w:rsid w:val="00B06E8E"/>
    <w:rsid w:val="00B47929"/>
    <w:rsid w:val="00B535B5"/>
    <w:rsid w:val="00B70CD2"/>
    <w:rsid w:val="00B810D0"/>
    <w:rsid w:val="00BA6D6F"/>
    <w:rsid w:val="00BE1664"/>
    <w:rsid w:val="00C73E83"/>
    <w:rsid w:val="00C81A90"/>
    <w:rsid w:val="00CF18A3"/>
    <w:rsid w:val="00D801D8"/>
    <w:rsid w:val="00D92F11"/>
    <w:rsid w:val="00D97BA0"/>
    <w:rsid w:val="00E71ABC"/>
    <w:rsid w:val="00E85A15"/>
    <w:rsid w:val="00EC7810"/>
    <w:rsid w:val="00F0675F"/>
    <w:rsid w:val="00F15C5D"/>
    <w:rsid w:val="00F24550"/>
    <w:rsid w:val="00F36BA8"/>
    <w:rsid w:val="00F825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DD52D"/>
  <w15:chartTrackingRefBased/>
  <w15:docId w15:val="{7400F2E8-57D3-4EC2-8B1E-A67E7352F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70C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70C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70CD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70CD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70CD2"/>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B70CD2"/>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70CD2"/>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B70CD2"/>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70CD2"/>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70CD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70CD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70CD2"/>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70CD2"/>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70CD2"/>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B70CD2"/>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70CD2"/>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B70CD2"/>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70CD2"/>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B70C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70CD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70CD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70CD2"/>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70CD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70CD2"/>
    <w:rPr>
      <w:i/>
      <w:iCs/>
      <w:color w:val="404040" w:themeColor="text1" w:themeTint="BF"/>
    </w:rPr>
  </w:style>
  <w:style w:type="paragraph" w:styleId="Sraopastraipa">
    <w:name w:val="List Paragraph"/>
    <w:basedOn w:val="prastasis"/>
    <w:uiPriority w:val="34"/>
    <w:qFormat/>
    <w:rsid w:val="00B70CD2"/>
    <w:pPr>
      <w:ind w:left="720"/>
      <w:contextualSpacing/>
    </w:pPr>
  </w:style>
  <w:style w:type="character" w:styleId="Rykuspabraukimas">
    <w:name w:val="Intense Emphasis"/>
    <w:basedOn w:val="Numatytasispastraiposriftas"/>
    <w:uiPriority w:val="21"/>
    <w:qFormat/>
    <w:rsid w:val="00B70CD2"/>
    <w:rPr>
      <w:i/>
      <w:iCs/>
      <w:color w:val="0F4761" w:themeColor="accent1" w:themeShade="BF"/>
    </w:rPr>
  </w:style>
  <w:style w:type="paragraph" w:styleId="Iskirtacitata">
    <w:name w:val="Intense Quote"/>
    <w:basedOn w:val="prastasis"/>
    <w:next w:val="prastasis"/>
    <w:link w:val="IskirtacitataDiagrama"/>
    <w:uiPriority w:val="30"/>
    <w:qFormat/>
    <w:rsid w:val="00B70C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70CD2"/>
    <w:rPr>
      <w:i/>
      <w:iCs/>
      <w:color w:val="0F4761" w:themeColor="accent1" w:themeShade="BF"/>
    </w:rPr>
  </w:style>
  <w:style w:type="character" w:styleId="Rykinuoroda">
    <w:name w:val="Intense Reference"/>
    <w:basedOn w:val="Numatytasispastraiposriftas"/>
    <w:uiPriority w:val="32"/>
    <w:qFormat/>
    <w:rsid w:val="00B70CD2"/>
    <w:rPr>
      <w:b/>
      <w:bCs/>
      <w:smallCaps/>
      <w:color w:val="0F4761" w:themeColor="accent1" w:themeShade="BF"/>
      <w:spacing w:val="5"/>
    </w:rPr>
  </w:style>
  <w:style w:type="character" w:styleId="Komentaronuoroda">
    <w:name w:val="annotation reference"/>
    <w:basedOn w:val="Numatytasispastraiposriftas"/>
    <w:uiPriority w:val="99"/>
    <w:semiHidden/>
    <w:unhideWhenUsed/>
    <w:rsid w:val="00742BD6"/>
    <w:rPr>
      <w:sz w:val="16"/>
      <w:szCs w:val="16"/>
    </w:rPr>
  </w:style>
  <w:style w:type="paragraph" w:styleId="Komentarotekstas">
    <w:name w:val="annotation text"/>
    <w:basedOn w:val="prastasis"/>
    <w:link w:val="KomentarotekstasDiagrama"/>
    <w:uiPriority w:val="99"/>
    <w:unhideWhenUsed/>
    <w:rsid w:val="00742BD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42BD6"/>
    <w:rPr>
      <w:sz w:val="20"/>
      <w:szCs w:val="20"/>
    </w:rPr>
  </w:style>
  <w:style w:type="paragraph" w:styleId="Komentarotema">
    <w:name w:val="annotation subject"/>
    <w:basedOn w:val="Komentarotekstas"/>
    <w:next w:val="Komentarotekstas"/>
    <w:link w:val="KomentarotemaDiagrama"/>
    <w:uiPriority w:val="99"/>
    <w:semiHidden/>
    <w:unhideWhenUsed/>
    <w:rsid w:val="00742BD6"/>
    <w:rPr>
      <w:b/>
      <w:bCs/>
    </w:rPr>
  </w:style>
  <w:style w:type="character" w:customStyle="1" w:styleId="KomentarotemaDiagrama">
    <w:name w:val="Komentaro tema Diagrama"/>
    <w:basedOn w:val="KomentarotekstasDiagrama"/>
    <w:link w:val="Komentarotema"/>
    <w:uiPriority w:val="99"/>
    <w:semiHidden/>
    <w:rsid w:val="00742BD6"/>
    <w:rPr>
      <w:b/>
      <w:bCs/>
      <w:sz w:val="20"/>
      <w:szCs w:val="20"/>
    </w:rPr>
  </w:style>
  <w:style w:type="paragraph" w:styleId="Pataisymai">
    <w:name w:val="Revision"/>
    <w:hidden/>
    <w:uiPriority w:val="99"/>
    <w:semiHidden/>
    <w:rsid w:val="00237A6E"/>
    <w:pPr>
      <w:spacing w:after="0" w:line="240" w:lineRule="auto"/>
    </w:pPr>
  </w:style>
  <w:style w:type="character" w:styleId="Hipersaitas">
    <w:name w:val="Hyperlink"/>
    <w:basedOn w:val="Numatytasispastraiposriftas"/>
    <w:uiPriority w:val="99"/>
    <w:unhideWhenUsed/>
    <w:rsid w:val="0025386A"/>
    <w:rPr>
      <w:color w:val="467886" w:themeColor="hyperlink"/>
      <w:u w:val="single"/>
    </w:rPr>
  </w:style>
  <w:style w:type="character" w:styleId="Neapdorotaspaminjimas">
    <w:name w:val="Unresolved Mention"/>
    <w:basedOn w:val="Numatytasispastraiposriftas"/>
    <w:uiPriority w:val="99"/>
    <w:semiHidden/>
    <w:unhideWhenUsed/>
    <w:rsid w:val="002538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arijampolesregionas.lt/planavimo-dokumentai/teritorines-strategijos/marijampoles-regiono-funkcines-zonos-strategija/" TargetMode="External"/><Relationship Id="rId5" Type="http://schemas.openxmlformats.org/officeDocument/2006/relationships/styles" Target="styles.xml"/><Relationship Id="rId10" Type="http://schemas.openxmlformats.org/officeDocument/2006/relationships/chart" Target="charts/chart3.xml"/><Relationship Id="rId4" Type="http://schemas.openxmlformats.org/officeDocument/2006/relationships/numbering" Target="numbering.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Knyga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Knyga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Knyga1"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0">
              <a:defRPr lang="lt-LT" sz="1600" b="1" i="0" u="none" strike="noStrike" kern="1200" spc="0" normalizeH="0" baseline="0">
                <a:solidFill>
                  <a:sysClr val="windowText" lastClr="000000">
                    <a:lumMod val="50000"/>
                    <a:lumOff val="50000"/>
                  </a:sysClr>
                </a:solidFill>
                <a:latin typeface="+mj-lt"/>
                <a:ea typeface="+mj-ea"/>
                <a:cs typeface="+mj-cs"/>
              </a:defRPr>
            </a:pPr>
            <a:r>
              <a:rPr lang="lt-LT" sz="1400" b="1" i="0" u="none" strike="noStrike" kern="1200" spc="0" normalizeH="0" baseline="0">
                <a:solidFill>
                  <a:sysClr val="windowText" lastClr="000000">
                    <a:lumMod val="50000"/>
                    <a:lumOff val="50000"/>
                  </a:sysClr>
                </a:solidFill>
                <a:latin typeface="+mj-lt"/>
                <a:ea typeface="+mj-ea"/>
                <a:cs typeface="+mj-cs"/>
              </a:rPr>
              <a:t>Investicijų pritraukimui skirtų projektų įgyvendinimo eiga 2025 m. gruodžio mėn. pradžioje</a:t>
            </a:r>
          </a:p>
        </c:rich>
      </c:tx>
      <c:overlay val="0"/>
      <c:spPr>
        <a:noFill/>
        <a:ln>
          <a:noFill/>
        </a:ln>
        <a:effectLst/>
      </c:spPr>
      <c:txPr>
        <a:bodyPr rot="0" spcFirstLastPara="1" vertOverflow="ellipsis" vert="horz" wrap="square" anchor="ctr" anchorCtr="1"/>
        <a:lstStyle/>
        <a:p>
          <a:pPr algn="ctr" rtl="0">
            <a:defRPr lang="lt-LT" sz="1600" b="1" i="0" u="none" strike="noStrike" kern="1200" spc="0" normalizeH="0" baseline="0">
              <a:solidFill>
                <a:sysClr val="windowText" lastClr="000000">
                  <a:lumMod val="50000"/>
                  <a:lumOff val="50000"/>
                </a:sysClr>
              </a:solidFill>
              <a:latin typeface="+mj-lt"/>
              <a:ea typeface="+mj-ea"/>
              <a:cs typeface="+mj-cs"/>
            </a:defRPr>
          </a:pPr>
          <a:endParaRPr lang="lt-LT"/>
        </a:p>
      </c:txPr>
    </c:title>
    <c:autoTitleDeleted val="0"/>
    <c:plotArea>
      <c:layout/>
      <c:pieChart>
        <c:varyColors val="1"/>
        <c:ser>
          <c:idx val="0"/>
          <c:order val="0"/>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c:ext xmlns:c16="http://schemas.microsoft.com/office/drawing/2014/chart" uri="{C3380CC4-5D6E-409C-BE32-E72D297353CC}">
                <c16:uniqueId val="{00000001-2817-410E-BAD2-12F9AF0D7044}"/>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c:ext xmlns:c16="http://schemas.microsoft.com/office/drawing/2014/chart" uri="{C3380CC4-5D6E-409C-BE32-E72D297353CC}">
                <c16:uniqueId val="{00000003-2817-410E-BAD2-12F9AF0D7044}"/>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extLst>
              <c:ext xmlns:c16="http://schemas.microsoft.com/office/drawing/2014/chart" uri="{C3380CC4-5D6E-409C-BE32-E72D297353CC}">
                <c16:uniqueId val="{00000005-2817-410E-BAD2-12F9AF0D7044}"/>
              </c:ext>
            </c:extLst>
          </c:dPt>
          <c:dLbls>
            <c:dLbl>
              <c:idx val="0"/>
              <c:delete val="1"/>
              <c:extLst>
                <c:ext xmlns:c15="http://schemas.microsoft.com/office/drawing/2012/chart" uri="{CE6537A1-D6FC-4f65-9D91-7224C49458BB}"/>
                <c:ext xmlns:c16="http://schemas.microsoft.com/office/drawing/2014/chart" uri="{C3380CC4-5D6E-409C-BE32-E72D297353CC}">
                  <c16:uniqueId val="{00000001-2817-410E-BAD2-12F9AF0D7044}"/>
                </c:ext>
              </c:extLst>
            </c:dLbl>
            <c:dLbl>
              <c:idx val="1"/>
              <c:layout>
                <c:manualLayout>
                  <c:x val="-0.10463644471625513"/>
                  <c:y val="0.18453883296008067"/>
                </c:manualLayout>
              </c:layout>
              <c:tx>
                <c:rich>
                  <a:bodyPr/>
                  <a:lstStyle/>
                  <a:p>
                    <a:fld id="{A87D934C-2D26-4623-8791-0BF95A5ED1AA}" type="VALUE">
                      <a:rPr lang="en-US" baseline="0"/>
                      <a:pPr/>
                      <a:t>[REIKŠMĖ]</a:t>
                    </a:fld>
                    <a:r>
                      <a:rPr lang="en-US" baseline="0"/>
                      <a:t> eur</a:t>
                    </a:r>
                    <a:br>
                      <a:rPr lang="en-US" baseline="0"/>
                    </a:br>
                    <a:fld id="{3380D14F-6D32-4640-B4D7-BB880407428B}" type="PERCENTAGE">
                      <a:rPr lang="en-US" baseline="0"/>
                      <a:pPr/>
                      <a:t>[PROCENTAI]</a:t>
                    </a:fld>
                    <a:endParaRPr lang="en-US" baseline="0"/>
                  </a:p>
                </c:rich>
              </c:tx>
              <c:dLblPos val="bestFit"/>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2817-410E-BAD2-12F9AF0D7044}"/>
                </c:ext>
              </c:extLst>
            </c:dLbl>
            <c:dLbl>
              <c:idx val="2"/>
              <c:layout>
                <c:manualLayout>
                  <c:x val="0.19967362332135671"/>
                  <c:y val="-0.22490267643599735"/>
                </c:manualLayout>
              </c:layout>
              <c:tx>
                <c:rich>
                  <a:bodyPr/>
                  <a:lstStyle/>
                  <a:p>
                    <a:fld id="{A27E93E0-70BD-47E8-8636-25399FB27501}" type="VALUE">
                      <a:rPr lang="en-US" baseline="0"/>
                      <a:pPr/>
                      <a:t>[REIKŠMĖ]</a:t>
                    </a:fld>
                    <a:r>
                      <a:rPr lang="en-US" baseline="0"/>
                      <a:t> eur</a:t>
                    </a:r>
                    <a:br>
                      <a:rPr lang="en-US" baseline="0"/>
                    </a:br>
                    <a:fld id="{9812C150-3E9C-4ACA-9132-A00DB517258E}" type="PERCENTAGE">
                      <a:rPr lang="en-US" baseline="0"/>
                      <a:pPr/>
                      <a:t>[PROCENTAI]</a:t>
                    </a:fld>
                    <a:endParaRPr lang="en-US" baseline="0"/>
                  </a:p>
                </c:rich>
              </c:tx>
              <c:dLblPos val="bestFit"/>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2817-410E-BAD2-12F9AF0D7044}"/>
                </c:ext>
              </c:extLst>
            </c:dLbl>
            <c:spPr>
              <a:noFill/>
              <a:ln>
                <a:noFill/>
              </a:ln>
              <a:effectLst/>
            </c:spPr>
            <c:txPr>
              <a:bodyPr rot="0" spcFirstLastPara="1" vertOverflow="ellipsis" vert="horz" wrap="square" anchor="ctr" anchorCtr="1"/>
              <a:lstStyle/>
              <a:p>
                <a:pPr>
                  <a:defRPr lang="en-US" sz="1100" b="1" i="0" u="none" strike="noStrike" kern="1200" baseline="0">
                    <a:solidFill>
                      <a:schemeClr val="bg1"/>
                    </a:solidFill>
                    <a:latin typeface="+mn-lt"/>
                    <a:ea typeface="+mn-ea"/>
                    <a:cs typeface="+mn-cs"/>
                  </a:defRPr>
                </a:pPr>
                <a:endParaRPr lang="lt-LT"/>
              </a:p>
            </c:txPr>
            <c:dLblPos val="inEnd"/>
            <c:showLegendKey val="0"/>
            <c:showVal val="1"/>
            <c:showCatName val="1"/>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Lapas1!$H$6:$H$8</c:f>
              <c:strCache>
                <c:ptCount val="3"/>
                <c:pt idx="0">
                  <c:v>Nepateikta</c:v>
                </c:pt>
                <c:pt idx="1">
                  <c:v>Vertinama</c:v>
                </c:pt>
                <c:pt idx="2">
                  <c:v>Įgyvendinama</c:v>
                </c:pt>
              </c:strCache>
            </c:strRef>
          </c:cat>
          <c:val>
            <c:numRef>
              <c:f>Lapas1!$I$6:$I$8</c:f>
              <c:numCache>
                <c:formatCode>#,##0</c:formatCode>
                <c:ptCount val="3"/>
                <c:pt idx="0" formatCode="General">
                  <c:v>0</c:v>
                </c:pt>
                <c:pt idx="1">
                  <c:v>876180</c:v>
                </c:pt>
                <c:pt idx="2">
                  <c:v>4522194.75</c:v>
                </c:pt>
              </c:numCache>
            </c:numRef>
          </c:val>
          <c:extLst>
            <c:ext xmlns:c16="http://schemas.microsoft.com/office/drawing/2014/chart" uri="{C3380CC4-5D6E-409C-BE32-E72D297353CC}">
              <c16:uniqueId val="{00000006-2817-410E-BAD2-12F9AF0D7044}"/>
            </c:ext>
          </c:extLst>
        </c:ser>
        <c:dLbls>
          <c:dLblPos val="inEnd"/>
          <c:showLegendKey val="0"/>
          <c:showVal val="1"/>
          <c:showCatName val="0"/>
          <c:showSerName val="0"/>
          <c:showPercent val="0"/>
          <c:showBubbleSize val="0"/>
          <c:showLeaderLines val="1"/>
        </c:dLbls>
        <c:firstSliceAng val="0"/>
      </c:pieChart>
      <c:spPr>
        <a:noFill/>
        <a:ln>
          <a:noFill/>
        </a:ln>
        <a:effectLst/>
      </c:spPr>
    </c:plotArea>
    <c:legend>
      <c:legendPos val="b"/>
      <c:overlay val="0"/>
      <c:spPr>
        <a:solidFill>
          <a:schemeClr val="lt1">
            <a:alpha val="50000"/>
          </a:schemeClr>
        </a:solidFill>
        <a:ln>
          <a:noFill/>
        </a:ln>
        <a:effectLst/>
      </c:spPr>
      <c:txPr>
        <a:bodyPr rot="0" spcFirstLastPara="1" vertOverflow="ellipsis" vert="horz" wrap="square" anchor="ctr" anchorCtr="1"/>
        <a:lstStyle/>
        <a:p>
          <a:pPr>
            <a:defRPr lang="en-US" sz="1100" b="0" i="0" u="none" strike="noStrike" kern="1200" baseline="0">
              <a:solidFill>
                <a:schemeClr val="dk1"/>
              </a:solidFill>
              <a:latin typeface="+mn-lt"/>
              <a:ea typeface="+mn-ea"/>
              <a:cs typeface="+mn-cs"/>
            </a:defRPr>
          </a:pPr>
          <a:endParaRPr lang="lt-LT"/>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lang="en-US" sz="900" b="0" i="0" u="none" strike="noStrike" kern="1200" baseline="0">
          <a:solidFill>
            <a:schemeClr val="dk1"/>
          </a:solidFill>
          <a:latin typeface="+mn-lt"/>
          <a:ea typeface="+mn-ea"/>
          <a:cs typeface="+mn-cs"/>
        </a:defRPr>
      </a:pPr>
      <a:endParaRPr lang="lt-L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0" normalizeH="0" baseline="0">
                <a:solidFill>
                  <a:schemeClr val="dk1">
                    <a:lumMod val="50000"/>
                    <a:lumOff val="50000"/>
                  </a:schemeClr>
                </a:solidFill>
                <a:latin typeface="+mj-lt"/>
                <a:ea typeface="+mj-ea"/>
                <a:cs typeface="+mj-cs"/>
              </a:defRPr>
            </a:pPr>
            <a:r>
              <a:rPr lang="lt-LT" sz="1400" b="1" i="0" u="none" strike="noStrike" kern="1200" spc="0" normalizeH="0" baseline="0">
                <a:solidFill>
                  <a:sysClr val="windowText" lastClr="000000">
                    <a:lumMod val="50000"/>
                    <a:lumOff val="50000"/>
                  </a:sysClr>
                </a:solidFill>
              </a:rPr>
              <a:t>Turizmo skatinimui skirtų projektų įgyvendinimo eiga 2025 m. gruodžio mėn. pradžioje</a:t>
            </a:r>
          </a:p>
        </c:rich>
      </c:tx>
      <c:overlay val="0"/>
      <c:spPr>
        <a:noFill/>
        <a:ln>
          <a:noFill/>
        </a:ln>
        <a:effectLst/>
      </c:spPr>
      <c:txPr>
        <a:bodyPr rot="0" spcFirstLastPara="1" vertOverflow="ellipsis" vert="horz" wrap="square" anchor="ctr" anchorCtr="1"/>
        <a:lstStyle/>
        <a:p>
          <a:pPr>
            <a:defRPr sz="1600" b="1" i="0" u="none" strike="noStrike" kern="1200" spc="0" normalizeH="0" baseline="0">
              <a:solidFill>
                <a:schemeClr val="dk1">
                  <a:lumMod val="50000"/>
                  <a:lumOff val="50000"/>
                </a:schemeClr>
              </a:solidFill>
              <a:latin typeface="+mj-lt"/>
              <a:ea typeface="+mj-ea"/>
              <a:cs typeface="+mj-cs"/>
            </a:defRPr>
          </a:pPr>
          <a:endParaRPr lang="lt-LT"/>
        </a:p>
      </c:txPr>
    </c:title>
    <c:autoTitleDeleted val="0"/>
    <c:plotArea>
      <c:layout/>
      <c:pieChart>
        <c:varyColors val="1"/>
        <c:ser>
          <c:idx val="0"/>
          <c:order val="0"/>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c:ext xmlns:c16="http://schemas.microsoft.com/office/drawing/2014/chart" uri="{C3380CC4-5D6E-409C-BE32-E72D297353CC}">
                <c16:uniqueId val="{00000001-FC9B-4456-A508-6C026F76E541}"/>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c:ext xmlns:c16="http://schemas.microsoft.com/office/drawing/2014/chart" uri="{C3380CC4-5D6E-409C-BE32-E72D297353CC}">
                <c16:uniqueId val="{00000003-FC9B-4456-A508-6C026F76E541}"/>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extLst>
              <c:ext xmlns:c16="http://schemas.microsoft.com/office/drawing/2014/chart" uri="{C3380CC4-5D6E-409C-BE32-E72D297353CC}">
                <c16:uniqueId val="{00000005-FC9B-4456-A508-6C026F76E541}"/>
              </c:ext>
            </c:extLst>
          </c:dPt>
          <c:dLbls>
            <c:dLbl>
              <c:idx val="0"/>
              <c:layout>
                <c:manualLayout>
                  <c:x val="-0.11013143666519451"/>
                  <c:y val="0.16961729078759832"/>
                </c:manualLayout>
              </c:layout>
              <c:tx>
                <c:rich>
                  <a:bodyPr rot="0" spcFirstLastPara="1" vertOverflow="ellipsis" vert="horz" wrap="square" lIns="38100" tIns="19050" rIns="38100" bIns="19050" anchor="ctr" anchorCtr="1">
                    <a:noAutofit/>
                  </a:bodyPr>
                  <a:lstStyle/>
                  <a:p>
                    <a:pPr>
                      <a:defRPr sz="1100" b="1" i="0" u="none" strike="noStrike" kern="1200" baseline="0">
                        <a:solidFill>
                          <a:schemeClr val="bg1"/>
                        </a:solidFill>
                        <a:latin typeface="+mn-lt"/>
                        <a:ea typeface="+mn-ea"/>
                        <a:cs typeface="+mn-cs"/>
                      </a:defRPr>
                    </a:pPr>
                    <a:fld id="{4F84C391-E385-4C2F-AFB2-9508347E847D}" type="VALUE">
                      <a:rPr lang="en-US"/>
                      <a:pPr>
                        <a:defRPr sz="1100" b="1">
                          <a:solidFill>
                            <a:schemeClr val="bg1"/>
                          </a:solidFill>
                        </a:defRPr>
                      </a:pPr>
                      <a:t>[REIKŠMĖ]</a:t>
                    </a:fld>
                    <a:r>
                      <a:rPr lang="en-US"/>
                      <a:t> eur</a:t>
                    </a:r>
                    <a:br>
                      <a:rPr lang="en-US" baseline="0"/>
                    </a:br>
                    <a:fld id="{0423CC81-7FB5-4181-8775-C4A9F9C42441}" type="PERCENTAGE">
                      <a:rPr lang="en-US" baseline="0"/>
                      <a:pPr>
                        <a:defRPr sz="1100" b="1">
                          <a:solidFill>
                            <a:schemeClr val="bg1"/>
                          </a:solidFill>
                        </a:defRPr>
                      </a:pPr>
                      <a:t>[PROCENTAI]</a:t>
                    </a:fld>
                    <a:endParaRPr lang="en-US" baseline="0"/>
                  </a:p>
                </c:rich>
              </c:tx>
              <c:spPr>
                <a:noFill/>
                <a:ln>
                  <a:noFill/>
                </a:ln>
                <a:effectLst/>
              </c:spPr>
              <c:txPr>
                <a:bodyPr rot="0" spcFirstLastPara="1" vertOverflow="ellipsis" vert="horz" wrap="square" lIns="38100" tIns="19050" rIns="38100" bIns="19050" anchor="ctr" anchorCtr="1">
                  <a:noAutofit/>
                </a:bodyPr>
                <a:lstStyle/>
                <a:p>
                  <a:pPr>
                    <a:defRPr sz="1100" b="1" i="0" u="none" strike="noStrike" kern="1200" baseline="0">
                      <a:solidFill>
                        <a:schemeClr val="bg1"/>
                      </a:solidFill>
                      <a:latin typeface="+mn-lt"/>
                      <a:ea typeface="+mn-ea"/>
                      <a:cs typeface="+mn-cs"/>
                    </a:defRPr>
                  </a:pPr>
                  <a:endParaRPr lang="en-US"/>
                </a:p>
              </c:txPr>
              <c:dLblPos val="bestFit"/>
              <c:showLegendKey val="0"/>
              <c:showVal val="1"/>
              <c:showCatName val="0"/>
              <c:showSerName val="0"/>
              <c:showPercent val="1"/>
              <c:showBubbleSize val="0"/>
              <c:extLst>
                <c:ext xmlns:c15="http://schemas.microsoft.com/office/drawing/2012/chart" uri="{CE6537A1-D6FC-4f65-9D91-7224C49458BB}">
                  <c15:layout>
                    <c:manualLayout>
                      <c:w val="0.19762490036907862"/>
                      <c:h val="0.14266800989884157"/>
                    </c:manualLayout>
                  </c15:layout>
                  <c15:dlblFieldTable/>
                  <c15:showDataLabelsRange val="0"/>
                </c:ext>
                <c:ext xmlns:c16="http://schemas.microsoft.com/office/drawing/2014/chart" uri="{C3380CC4-5D6E-409C-BE32-E72D297353CC}">
                  <c16:uniqueId val="{00000001-FC9B-4456-A508-6C026F76E541}"/>
                </c:ext>
              </c:extLst>
            </c:dLbl>
            <c:dLbl>
              <c:idx val="1"/>
              <c:layout>
                <c:manualLayout>
                  <c:x val="-0.2039247221756855"/>
                  <c:y val="5.5189077543549171E-3"/>
                </c:manualLayout>
              </c:layout>
              <c:tx>
                <c:rich>
                  <a:bodyPr/>
                  <a:lstStyle/>
                  <a:p>
                    <a:fld id="{38F29571-251E-47BF-96CE-C5C7EAAEB923}" type="VALUE">
                      <a:rPr lang="en-US"/>
                      <a:pPr/>
                      <a:t>[REIKŠMĖ]</a:t>
                    </a:fld>
                    <a:r>
                      <a:rPr lang="en-US"/>
                      <a:t> eur</a:t>
                    </a:r>
                    <a:br>
                      <a:rPr lang="en-US" baseline="0"/>
                    </a:br>
                    <a:fld id="{864A81D0-99AE-4BDF-B5DB-A8150F61249E}" type="PERCENTAGE">
                      <a:rPr lang="en-US" baseline="0"/>
                      <a:pPr/>
                      <a:t>[PROCENTAI]</a:t>
                    </a:fld>
                    <a:endParaRPr lang="en-US" baseline="0"/>
                  </a:p>
                </c:rich>
              </c:tx>
              <c:dLblPos val="bestFit"/>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FC9B-4456-A508-6C026F76E541}"/>
                </c:ext>
              </c:extLst>
            </c:dLbl>
            <c:dLbl>
              <c:idx val="2"/>
              <c:layout>
                <c:manualLayout>
                  <c:x val="0.24152302045416466"/>
                  <c:y val="-9.7659706520260361E-2"/>
                </c:manualLayout>
              </c:layout>
              <c:tx>
                <c:rich>
                  <a:bodyPr/>
                  <a:lstStyle/>
                  <a:p>
                    <a:fld id="{8C281930-6AF8-4590-A1CB-5659667106A5}" type="VALUE">
                      <a:rPr lang="en-US"/>
                      <a:pPr/>
                      <a:t>[REIKŠMĖ]</a:t>
                    </a:fld>
                    <a:r>
                      <a:rPr lang="en-US"/>
                      <a:t> eur</a:t>
                    </a:r>
                    <a:r>
                      <a:rPr lang="en-US" baseline="0"/>
                      <a:t> </a:t>
                    </a:r>
                    <a:br>
                      <a:rPr lang="en-US" baseline="0"/>
                    </a:br>
                    <a:fld id="{1E5ADB1F-20E2-47EC-84B0-8B9155C0FAF7}" type="PERCENTAGE">
                      <a:rPr lang="en-US" baseline="0"/>
                      <a:pPr/>
                      <a:t>[PROCENTAI]</a:t>
                    </a:fld>
                    <a:endParaRPr lang="en-US" baseline="0"/>
                  </a:p>
                </c:rich>
              </c:tx>
              <c:dLblPos val="bestFit"/>
              <c:showLegendKey val="0"/>
              <c:showVal val="1"/>
              <c:showCatName val="0"/>
              <c:showSerName val="0"/>
              <c:showPercent val="1"/>
              <c:showBubbleSize val="0"/>
              <c:extLst>
                <c:ext xmlns:c15="http://schemas.microsoft.com/office/drawing/2012/chart" uri="{CE6537A1-D6FC-4f65-9D91-7224C49458BB}">
                  <c15:layout>
                    <c:manualLayout>
                      <c:w val="0.20786589297227595"/>
                      <c:h val="0.15455194573366654"/>
                    </c:manualLayout>
                  </c15:layout>
                  <c15:dlblFieldTable/>
                  <c15:showDataLabelsRange val="0"/>
                </c:ext>
                <c:ext xmlns:c16="http://schemas.microsoft.com/office/drawing/2014/chart" uri="{C3380CC4-5D6E-409C-BE32-E72D297353CC}">
                  <c16:uniqueId val="{00000005-FC9B-4456-A508-6C026F76E541}"/>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lt-LT"/>
              </a:p>
            </c:txPr>
            <c:dLblPos val="inEnd"/>
            <c:showLegendKey val="0"/>
            <c:showVal val="1"/>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Lapas1!$H$12:$H$14</c:f>
              <c:strCache>
                <c:ptCount val="3"/>
                <c:pt idx="0">
                  <c:v>Nepateikta</c:v>
                </c:pt>
                <c:pt idx="1">
                  <c:v>Vertinama</c:v>
                </c:pt>
                <c:pt idx="2">
                  <c:v>Įgyvendinama</c:v>
                </c:pt>
              </c:strCache>
            </c:strRef>
          </c:cat>
          <c:val>
            <c:numRef>
              <c:f>Lapas1!$I$12:$I$14</c:f>
              <c:numCache>
                <c:formatCode>#,##0</c:formatCode>
                <c:ptCount val="3"/>
                <c:pt idx="0">
                  <c:v>2838170.45</c:v>
                </c:pt>
                <c:pt idx="1">
                  <c:v>6653897.2699999996</c:v>
                </c:pt>
                <c:pt idx="2">
                  <c:v>14415990.16</c:v>
                </c:pt>
              </c:numCache>
            </c:numRef>
          </c:val>
          <c:extLst>
            <c:ext xmlns:c16="http://schemas.microsoft.com/office/drawing/2014/chart" uri="{C3380CC4-5D6E-409C-BE32-E72D297353CC}">
              <c16:uniqueId val="{00000006-FC9B-4456-A508-6C026F76E541}"/>
            </c:ext>
          </c:extLst>
        </c:ser>
        <c:dLbls>
          <c:dLblPos val="inEnd"/>
          <c:showLegendKey val="0"/>
          <c:showVal val="1"/>
          <c:showCatName val="0"/>
          <c:showSerName val="0"/>
          <c:showPercent val="0"/>
          <c:showBubbleSize val="0"/>
          <c:showLeaderLines val="1"/>
        </c:dLbls>
        <c:firstSliceAng val="0"/>
      </c:pieChart>
      <c:spPr>
        <a:noFill/>
        <a:ln>
          <a:noFill/>
        </a:ln>
        <a:effectLst/>
      </c:spPr>
    </c:plotArea>
    <c:legend>
      <c:legendPos val="b"/>
      <c:overlay val="0"/>
      <c:spPr>
        <a:solidFill>
          <a:schemeClr val="lt1">
            <a:alpha val="50000"/>
          </a:schemeClr>
        </a:solidFill>
        <a:ln>
          <a:noFill/>
        </a:ln>
        <a:effectLst/>
      </c:spPr>
      <c:txPr>
        <a:bodyPr rot="0" spcFirstLastPara="1" vertOverflow="ellipsis" vert="horz" wrap="square" anchor="ctr" anchorCtr="1"/>
        <a:lstStyle/>
        <a:p>
          <a:pPr>
            <a:defRPr sz="1100" b="0" i="0" u="none" strike="noStrike" kern="1200" baseline="0">
              <a:solidFill>
                <a:schemeClr val="dk1">
                  <a:lumMod val="65000"/>
                  <a:lumOff val="35000"/>
                </a:schemeClr>
              </a:solidFill>
              <a:latin typeface="+mn-lt"/>
              <a:ea typeface="+mn-ea"/>
              <a:cs typeface="+mn-cs"/>
            </a:defRPr>
          </a:pPr>
          <a:endParaRPr lang="lt-LT"/>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lt-LT"/>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0" normalizeH="0" baseline="0">
                <a:solidFill>
                  <a:schemeClr val="dk1">
                    <a:lumMod val="50000"/>
                    <a:lumOff val="50000"/>
                  </a:schemeClr>
                </a:solidFill>
                <a:latin typeface="+mj-lt"/>
                <a:ea typeface="+mj-ea"/>
                <a:cs typeface="+mj-cs"/>
              </a:defRPr>
            </a:pPr>
            <a:r>
              <a:rPr lang="lt-LT" sz="1400" b="1" i="0" u="none" strike="noStrike" kern="1200" spc="0" normalizeH="0" baseline="0">
                <a:solidFill>
                  <a:sysClr val="windowText" lastClr="000000">
                    <a:lumMod val="50000"/>
                    <a:lumOff val="50000"/>
                  </a:sysClr>
                </a:solidFill>
              </a:rPr>
              <a:t>Visuomenės sveikatai skirtų projektų įgyvendinimo eiga 2025 m. gruodžio mėn. pradžioje</a:t>
            </a:r>
          </a:p>
        </c:rich>
      </c:tx>
      <c:overlay val="0"/>
      <c:spPr>
        <a:noFill/>
        <a:ln>
          <a:noFill/>
        </a:ln>
        <a:effectLst/>
      </c:spPr>
      <c:txPr>
        <a:bodyPr rot="0" spcFirstLastPara="1" vertOverflow="ellipsis" vert="horz" wrap="square" anchor="ctr" anchorCtr="1"/>
        <a:lstStyle/>
        <a:p>
          <a:pPr>
            <a:defRPr sz="1600" b="1" i="0" u="none" strike="noStrike" kern="1200" spc="0" normalizeH="0" baseline="0">
              <a:solidFill>
                <a:schemeClr val="dk1">
                  <a:lumMod val="50000"/>
                  <a:lumOff val="50000"/>
                </a:schemeClr>
              </a:solidFill>
              <a:latin typeface="+mj-lt"/>
              <a:ea typeface="+mj-ea"/>
              <a:cs typeface="+mj-cs"/>
            </a:defRPr>
          </a:pPr>
          <a:endParaRPr lang="lt-LT"/>
        </a:p>
      </c:txPr>
    </c:title>
    <c:autoTitleDeleted val="0"/>
    <c:plotArea>
      <c:layout/>
      <c:pieChart>
        <c:varyColors val="1"/>
        <c:ser>
          <c:idx val="0"/>
          <c:order val="0"/>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c:ext xmlns:c16="http://schemas.microsoft.com/office/drawing/2014/chart" uri="{C3380CC4-5D6E-409C-BE32-E72D297353CC}">
                <c16:uniqueId val="{00000001-72B9-4CB7-B464-AB6B4AF6DF71}"/>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c:ext xmlns:c16="http://schemas.microsoft.com/office/drawing/2014/chart" uri="{C3380CC4-5D6E-409C-BE32-E72D297353CC}">
                <c16:uniqueId val="{00000003-72B9-4CB7-B464-AB6B4AF6DF71}"/>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extLst>
              <c:ext xmlns:c16="http://schemas.microsoft.com/office/drawing/2014/chart" uri="{C3380CC4-5D6E-409C-BE32-E72D297353CC}">
                <c16:uniqueId val="{00000005-72B9-4CB7-B464-AB6B4AF6DF71}"/>
              </c:ext>
            </c:extLst>
          </c:dPt>
          <c:dLbls>
            <c:dLbl>
              <c:idx val="0"/>
              <c:delete val="1"/>
              <c:extLst>
                <c:ext xmlns:c15="http://schemas.microsoft.com/office/drawing/2012/chart" uri="{CE6537A1-D6FC-4f65-9D91-7224C49458BB}"/>
                <c:ext xmlns:c16="http://schemas.microsoft.com/office/drawing/2014/chart" uri="{C3380CC4-5D6E-409C-BE32-E72D297353CC}">
                  <c16:uniqueId val="{00000001-72B9-4CB7-B464-AB6B4AF6DF71}"/>
                </c:ext>
              </c:extLst>
            </c:dLbl>
            <c:dLbl>
              <c:idx val="1"/>
              <c:delete val="1"/>
              <c:extLst>
                <c:ext xmlns:c15="http://schemas.microsoft.com/office/drawing/2012/chart" uri="{CE6537A1-D6FC-4f65-9D91-7224C49458BB}"/>
                <c:ext xmlns:c16="http://schemas.microsoft.com/office/drawing/2014/chart" uri="{C3380CC4-5D6E-409C-BE32-E72D297353CC}">
                  <c16:uniqueId val="{00000003-72B9-4CB7-B464-AB6B4AF6DF71}"/>
                </c:ext>
              </c:extLst>
            </c:dLbl>
            <c:dLbl>
              <c:idx val="2"/>
              <c:layout>
                <c:manualLayout>
                  <c:x val="3.8599896918311513E-3"/>
                  <c:y val="-0.27902694937445449"/>
                </c:manualLayout>
              </c:layout>
              <c:tx>
                <c:rich>
                  <a:bodyPr/>
                  <a:lstStyle/>
                  <a:p>
                    <a:fld id="{DAF5FF48-7A9E-469B-B484-A9B6BED79FD4}" type="VALUE">
                      <a:rPr lang="en-US"/>
                      <a:pPr/>
                      <a:t>[REIKŠMĖ]</a:t>
                    </a:fld>
                    <a:r>
                      <a:rPr lang="en-US"/>
                      <a:t> eur</a:t>
                    </a:r>
                    <a:br>
                      <a:rPr lang="en-US" baseline="0"/>
                    </a:br>
                    <a:fld id="{78BD7E83-13C3-456D-AF75-2048BE0FBB38}" type="PERCENTAGE">
                      <a:rPr lang="en-US" baseline="0"/>
                      <a:pPr/>
                      <a:t>[PROCENTAI]</a:t>
                    </a:fld>
                    <a:endParaRPr lang="en-US" baseline="0"/>
                  </a:p>
                </c:rich>
              </c:tx>
              <c:dLblPos val="bestFit"/>
              <c:showLegendKey val="0"/>
              <c:showVal val="1"/>
              <c:showCatName val="0"/>
              <c:showSerName val="0"/>
              <c:showPercent val="1"/>
              <c:showBubbleSize val="0"/>
              <c:extLst>
                <c:ext xmlns:c15="http://schemas.microsoft.com/office/drawing/2012/chart" uri="{CE6537A1-D6FC-4f65-9D91-7224C49458BB}">
                  <c15:layout>
                    <c:manualLayout>
                      <c:w val="0.23814666987977789"/>
                      <c:h val="0.15621107388347397"/>
                    </c:manualLayout>
                  </c15:layout>
                  <c15:dlblFieldTable/>
                  <c15:showDataLabelsRange val="0"/>
                </c:ext>
                <c:ext xmlns:c16="http://schemas.microsoft.com/office/drawing/2014/chart" uri="{C3380CC4-5D6E-409C-BE32-E72D297353CC}">
                  <c16:uniqueId val="{00000005-72B9-4CB7-B464-AB6B4AF6DF71}"/>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lt-LT"/>
              </a:p>
            </c:txPr>
            <c:dLblPos val="ctr"/>
            <c:showLegendKey val="0"/>
            <c:showVal val="1"/>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Lapas1!$H$29:$H$31</c:f>
              <c:strCache>
                <c:ptCount val="3"/>
                <c:pt idx="0">
                  <c:v>Nepateikta</c:v>
                </c:pt>
                <c:pt idx="1">
                  <c:v>Vertinama</c:v>
                </c:pt>
                <c:pt idx="2">
                  <c:v>Įgyvendinama</c:v>
                </c:pt>
              </c:strCache>
            </c:strRef>
          </c:cat>
          <c:val>
            <c:numRef>
              <c:f>Lapas1!$I$29:$I$31</c:f>
              <c:numCache>
                <c:formatCode>#,##0</c:formatCode>
                <c:ptCount val="3"/>
                <c:pt idx="0">
                  <c:v>0</c:v>
                </c:pt>
                <c:pt idx="1">
                  <c:v>0</c:v>
                </c:pt>
                <c:pt idx="2">
                  <c:v>176797.7</c:v>
                </c:pt>
              </c:numCache>
            </c:numRef>
          </c:val>
          <c:extLst>
            <c:ext xmlns:c16="http://schemas.microsoft.com/office/drawing/2014/chart" uri="{C3380CC4-5D6E-409C-BE32-E72D297353CC}">
              <c16:uniqueId val="{00000006-72B9-4CB7-B464-AB6B4AF6DF71}"/>
            </c:ext>
          </c:extLst>
        </c:ser>
        <c:dLbls>
          <c:dLblPos val="ctr"/>
          <c:showLegendKey val="0"/>
          <c:showVal val="1"/>
          <c:showCatName val="0"/>
          <c:showSerName val="0"/>
          <c:showPercent val="0"/>
          <c:showBubbleSize val="0"/>
          <c:showLeaderLines val="1"/>
        </c:dLbls>
        <c:firstSliceAng val="0"/>
      </c:pieChart>
      <c:spPr>
        <a:noFill/>
        <a:ln>
          <a:noFill/>
        </a:ln>
        <a:effectLst/>
      </c:spPr>
    </c:plotArea>
    <c:legend>
      <c:legendPos val="b"/>
      <c:overlay val="0"/>
      <c:spPr>
        <a:solidFill>
          <a:schemeClr val="lt1">
            <a:alpha val="50000"/>
          </a:schemeClr>
        </a:solidFill>
        <a:ln>
          <a:noFill/>
        </a:ln>
        <a:effectLst/>
      </c:spPr>
      <c:txPr>
        <a:bodyPr rot="0" spcFirstLastPara="1" vertOverflow="ellipsis" vert="horz" wrap="square" anchor="ctr" anchorCtr="1"/>
        <a:lstStyle/>
        <a:p>
          <a:pPr>
            <a:defRPr sz="1100" b="0" i="0" u="none" strike="noStrike" kern="1200" baseline="0">
              <a:solidFill>
                <a:schemeClr val="dk1">
                  <a:lumMod val="65000"/>
                  <a:lumOff val="35000"/>
                </a:schemeClr>
              </a:solidFill>
              <a:latin typeface="+mn-lt"/>
              <a:ea typeface="+mn-ea"/>
              <a:cs typeface="+mn-cs"/>
            </a:defRPr>
          </a:pPr>
          <a:endParaRPr lang="lt-LT"/>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C4BFE78538054EA722B05521283528" ma:contentTypeVersion="19" ma:contentTypeDescription="Create a new document." ma:contentTypeScope="" ma:versionID="c9963fa7fdf725a71d8f67aa7ea571cd">
  <xsd:schema xmlns:xsd="http://www.w3.org/2001/XMLSchema" xmlns:xs="http://www.w3.org/2001/XMLSchema" xmlns:p="http://schemas.microsoft.com/office/2006/metadata/properties" xmlns:ns2="8f3f2252-3603-49aa-ac8e-307372a50dca" xmlns:ns3="c4be9623-8533-4525-a9d4-060d4b2303db" targetNamespace="http://schemas.microsoft.com/office/2006/metadata/properties" ma:root="true" ma:fieldsID="1f745a209a701e0ca8b97e9e2e0ca234" ns2:_="" ns3:_="">
    <xsd:import namespace="8f3f2252-3603-49aa-ac8e-307372a50dca"/>
    <xsd:import namespace="c4be9623-8533-4525-a9d4-060d4b2303d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3f2252-3603-49aa-ac8e-307372a50d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4f37590-f24c-42b8-be85-cbce8e7b946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be9623-8533-4525-a9d4-060d4b2303d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b192754-23d9-452b-9c52-121a2d866fdf}" ma:internalName="TaxCatchAll" ma:showField="CatchAllData" ma:web="c4be9623-8533-4525-a9d4-060d4b2303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3f2252-3603-49aa-ac8e-307372a50dca">
      <Terms xmlns="http://schemas.microsoft.com/office/infopath/2007/PartnerControls"/>
    </lcf76f155ced4ddcb4097134ff3c332f>
    <TaxCatchAll xmlns="c4be9623-8533-4525-a9d4-060d4b2303db" xsi:nil="true"/>
  </documentManagement>
</p:properties>
</file>

<file path=customXml/itemProps1.xml><?xml version="1.0" encoding="utf-8"?>
<ds:datastoreItem xmlns:ds="http://schemas.openxmlformats.org/officeDocument/2006/customXml" ds:itemID="{ED388B8C-C0B2-490A-9AB3-D381B3F69E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3f2252-3603-49aa-ac8e-307372a50dca"/>
    <ds:schemaRef ds:uri="c4be9623-8533-4525-a9d4-060d4b2303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A1A068-5FD6-41C9-BD7C-66EDF18072BD}">
  <ds:schemaRefs>
    <ds:schemaRef ds:uri="http://schemas.microsoft.com/sharepoint/v3/contenttype/forms"/>
  </ds:schemaRefs>
</ds:datastoreItem>
</file>

<file path=customXml/itemProps3.xml><?xml version="1.0" encoding="utf-8"?>
<ds:datastoreItem xmlns:ds="http://schemas.openxmlformats.org/officeDocument/2006/customXml" ds:itemID="{46408F5E-9887-4F9A-A47F-880B921C9EFA}">
  <ds:schemaRefs>
    <ds:schemaRef ds:uri="http://schemas.microsoft.com/office/2006/metadata/properties"/>
    <ds:schemaRef ds:uri="http://schemas.microsoft.com/office/infopath/2007/PartnerControls"/>
    <ds:schemaRef ds:uri="8f3f2252-3603-49aa-ac8e-307372a50dca"/>
    <ds:schemaRef ds:uri="c4be9623-8533-4525-a9d4-060d4b2303d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2327</Words>
  <Characters>1327</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Norutė</dc:creator>
  <cp:keywords/>
  <dc:description/>
  <cp:lastModifiedBy>Andrius Prekevičius</cp:lastModifiedBy>
  <cp:revision>2</cp:revision>
  <dcterms:created xsi:type="dcterms:W3CDTF">2025-12-18T06:00:00Z</dcterms:created>
  <dcterms:modified xsi:type="dcterms:W3CDTF">2025-12-18T06:00:00Z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0x0101008AC4BFE78538054EA722B05521283528</vt:lpwstr>
  </property>
  <property fmtid="{D5CDD505-2E9C-101B-9397-08002B2CF9AE}" pid="3" name="MediaServiceImageTags">
    <vt:lpwstr/>
  </property>
</Properties>
</file>